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AACE" w14:textId="77777777" w:rsidR="00A9464C" w:rsidRPr="00C91390" w:rsidRDefault="00A9464C" w:rsidP="00A9464C">
      <w:pPr>
        <w:jc w:val="center"/>
        <w:rPr>
          <w:b/>
          <w:sz w:val="26"/>
          <w:szCs w:val="26"/>
          <w:u w:val="single"/>
        </w:rPr>
      </w:pPr>
      <w:r w:rsidRPr="00C91390">
        <w:rPr>
          <w:b/>
          <w:sz w:val="26"/>
          <w:szCs w:val="26"/>
          <w:u w:val="single"/>
        </w:rPr>
        <w:t>FinCEN GTO Covered Transaction Worksheet</w:t>
      </w:r>
    </w:p>
    <w:p w14:paraId="5F2C6937" w14:textId="77777777" w:rsidR="00A9464C" w:rsidRDefault="00A9464C" w:rsidP="00A9464C">
      <w:pPr>
        <w:jc w:val="center"/>
      </w:pPr>
    </w:p>
    <w:p w14:paraId="45CD4EA7" w14:textId="3303D965" w:rsidR="00C91390" w:rsidRDefault="00C91390" w:rsidP="00FA6F54">
      <w:pPr>
        <w:jc w:val="both"/>
      </w:pPr>
      <w:r>
        <w:t>This worksheet was designed to</w:t>
      </w:r>
      <w:r w:rsidR="00A9464C">
        <w:t xml:space="preserve"> </w:t>
      </w:r>
      <w:r w:rsidR="00F26865">
        <w:t>help</w:t>
      </w:r>
      <w:r w:rsidR="00A9464C">
        <w:t xml:space="preserve"> CATIC</w:t>
      </w:r>
      <w:r w:rsidR="002F6B3E">
        <w:t xml:space="preserve"> Title</w:t>
      </w:r>
      <w:r w:rsidR="00A9464C">
        <w:t xml:space="preserve"> agents </w:t>
      </w:r>
      <w:r w:rsidR="00B34637">
        <w:t>in determining</w:t>
      </w:r>
      <w:r w:rsidR="00A9464C">
        <w:t xml:space="preserve"> whether a transaction meets the criteria of a Covered Transaction under the FinCEN GTO</w:t>
      </w:r>
      <w:r>
        <w:t xml:space="preserve">. </w:t>
      </w:r>
    </w:p>
    <w:p w14:paraId="704F372E" w14:textId="77777777" w:rsidR="006D1AAB" w:rsidRDefault="006D1AAB" w:rsidP="00FA6F54">
      <w:pPr>
        <w:jc w:val="both"/>
      </w:pPr>
    </w:p>
    <w:p w14:paraId="2A04C9BC" w14:textId="77777777" w:rsidR="00A9464C" w:rsidRDefault="00C91390" w:rsidP="00774AFD">
      <w:pPr>
        <w:jc w:val="both"/>
      </w:pPr>
      <w:r>
        <w:t>To determine whether a trans</w:t>
      </w:r>
      <w:r w:rsidR="00B34637">
        <w:t>action is a Covered Transaction</w:t>
      </w:r>
      <w:r>
        <w:t xml:space="preserve">, </w:t>
      </w:r>
      <w:r w:rsidR="00A9464C">
        <w:t xml:space="preserve">please answer the questions </w:t>
      </w:r>
      <w:r>
        <w:t xml:space="preserve">below. </w:t>
      </w:r>
    </w:p>
    <w:p w14:paraId="14BC0C0A" w14:textId="77777777" w:rsidR="006D1AAB" w:rsidRDefault="006D1AAB" w:rsidP="00774AFD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5"/>
        <w:gridCol w:w="3194"/>
        <w:gridCol w:w="3419"/>
        <w:gridCol w:w="1440"/>
        <w:gridCol w:w="1494"/>
      </w:tblGrid>
      <w:tr w:rsidR="00C91390" w:rsidRPr="00C91390" w14:paraId="01351B4A" w14:textId="77777777" w:rsidTr="00774AFD">
        <w:tc>
          <w:tcPr>
            <w:tcW w:w="298" w:type="pct"/>
            <w:shd w:val="clear" w:color="auto" w:fill="002E5D"/>
          </w:tcPr>
          <w:p w14:paraId="0D268DD7" w14:textId="77777777" w:rsidR="00A9464C" w:rsidRPr="00C91390" w:rsidRDefault="00A9464C" w:rsidP="00A9464C">
            <w:pPr>
              <w:rPr>
                <w:color w:val="FFFFFF" w:themeColor="background1"/>
              </w:rPr>
            </w:pPr>
          </w:p>
        </w:tc>
        <w:tc>
          <w:tcPr>
            <w:tcW w:w="3257" w:type="pct"/>
            <w:gridSpan w:val="2"/>
            <w:shd w:val="clear" w:color="auto" w:fill="002E5D"/>
          </w:tcPr>
          <w:p w14:paraId="1B1C190B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709" w:type="pct"/>
            <w:shd w:val="clear" w:color="auto" w:fill="002E5D"/>
          </w:tcPr>
          <w:p w14:paraId="1FF98DB8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Yes</w:t>
            </w:r>
          </w:p>
        </w:tc>
        <w:tc>
          <w:tcPr>
            <w:tcW w:w="736" w:type="pct"/>
            <w:shd w:val="clear" w:color="auto" w:fill="002E5D"/>
          </w:tcPr>
          <w:p w14:paraId="43BE93B3" w14:textId="77777777" w:rsidR="00A9464C" w:rsidRPr="00C91390" w:rsidRDefault="00A9464C" w:rsidP="00A9464C">
            <w:pPr>
              <w:jc w:val="center"/>
              <w:rPr>
                <w:b/>
                <w:color w:val="FFFFFF" w:themeColor="background1"/>
              </w:rPr>
            </w:pPr>
            <w:r w:rsidRPr="00C91390">
              <w:rPr>
                <w:b/>
                <w:color w:val="FFFFFF" w:themeColor="background1"/>
              </w:rPr>
              <w:t>No</w:t>
            </w:r>
          </w:p>
        </w:tc>
      </w:tr>
      <w:tr w:rsidR="00A9464C" w14:paraId="396AE771" w14:textId="77777777" w:rsidTr="00774AFD">
        <w:tc>
          <w:tcPr>
            <w:tcW w:w="298" w:type="pct"/>
          </w:tcPr>
          <w:p w14:paraId="6D649084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4608FF5B" w14:textId="77777777" w:rsidR="00A9464C" w:rsidRDefault="00A9464C" w:rsidP="00A9464C">
            <w:pPr>
              <w:rPr>
                <w:rFonts w:asciiTheme="majorHAnsi" w:hAnsiTheme="majorHAnsi" w:cs="Times New Roman"/>
              </w:rPr>
            </w:pPr>
            <w:r w:rsidRPr="00A9464C">
              <w:rPr>
                <w:rFonts w:asciiTheme="majorHAnsi" w:hAnsiTheme="majorHAnsi"/>
              </w:rPr>
              <w:t xml:space="preserve">Is the property </w:t>
            </w:r>
            <w:r w:rsidRPr="00A9464C">
              <w:rPr>
                <w:rFonts w:asciiTheme="majorHAnsi" w:hAnsiTheme="majorHAnsi"/>
                <w:b/>
                <w:i/>
              </w:rPr>
              <w:t>residential</w:t>
            </w:r>
            <w:r w:rsidRPr="00A9464C">
              <w:rPr>
                <w:rFonts w:asciiTheme="majorHAnsi" w:hAnsiTheme="majorHAnsi"/>
              </w:rPr>
              <w:t xml:space="preserve"> real property</w:t>
            </w:r>
            <w:r w:rsidRPr="00A9464C">
              <w:rPr>
                <w:rFonts w:asciiTheme="majorHAnsi" w:hAnsiTheme="majorHAnsi" w:cs="Times New Roman"/>
              </w:rPr>
              <w:t>?</w:t>
            </w:r>
          </w:p>
          <w:p w14:paraId="62391E8C" w14:textId="77777777" w:rsidR="00774AFD" w:rsidRPr="00774AFD" w:rsidRDefault="00774AFD" w:rsidP="00A9464C">
            <w:pPr>
              <w:rPr>
                <w:rFonts w:asciiTheme="majorHAnsi" w:hAnsiTheme="majorHAnsi" w:cs="Times New Roman"/>
              </w:rPr>
            </w:pPr>
          </w:p>
        </w:tc>
        <w:sdt>
          <w:sdtPr>
            <w:id w:val="-17797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455CE8E" w14:textId="77777777" w:rsidR="00A9464C" w:rsidRDefault="002337EF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2AE1F46E" w14:textId="77777777" w:rsidR="00A9464C" w:rsidRDefault="00F26865" w:rsidP="00A9464C">
            <w:pPr>
              <w:jc w:val="center"/>
            </w:pPr>
            <w:sdt>
              <w:sdtPr>
                <w:id w:val="16584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0AE1176D" w14:textId="77777777" w:rsidTr="00774AFD">
        <w:tc>
          <w:tcPr>
            <w:tcW w:w="298" w:type="pct"/>
          </w:tcPr>
          <w:p w14:paraId="553DBED4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3CCEB09E" w14:textId="77777777" w:rsidR="00147831" w:rsidRDefault="00A9464C" w:rsidP="00A9464C">
            <w:r>
              <w:t>Is the residential real property located in</w:t>
            </w:r>
            <w:r w:rsidR="00757220">
              <w:t>, inter alia</w:t>
            </w:r>
            <w:r w:rsidR="00147831">
              <w:t>:</w:t>
            </w:r>
          </w:p>
          <w:p w14:paraId="24864252" w14:textId="77777777" w:rsidR="00D869CD" w:rsidRPr="00E81C11" w:rsidRDefault="00C10284" w:rsidP="001F1B26">
            <w:pPr>
              <w:pStyle w:val="ListParagraph"/>
              <w:numPr>
                <w:ilvl w:val="0"/>
                <w:numId w:val="4"/>
              </w:numPr>
              <w:ind w:left="432" w:hanging="270"/>
            </w:pPr>
            <w:r>
              <w:rPr>
                <w:b/>
                <w:i/>
              </w:rPr>
              <w:t>t</w:t>
            </w:r>
            <w:r w:rsidR="00F2232D" w:rsidRPr="00F2232D">
              <w:rPr>
                <w:b/>
                <w:i/>
              </w:rPr>
              <w:t>he Boroughs of Brooklyn, Queens, Bronx, Staten Island, or Manhattan in New York City, New York</w:t>
            </w:r>
            <w:r w:rsidR="00E81C11">
              <w:rPr>
                <w:bCs/>
                <w:iCs/>
              </w:rPr>
              <w:t xml:space="preserve"> OR</w:t>
            </w:r>
          </w:p>
          <w:p w14:paraId="605A82ED" w14:textId="612B1D2D" w:rsidR="00E81C11" w:rsidRPr="001F1B26" w:rsidRDefault="00E81C11" w:rsidP="00E81C1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270"/>
            </w:pPr>
            <w:r>
              <w:rPr>
                <w:b/>
                <w:i/>
              </w:rPr>
              <w:t>the Florida counties of Miami-Dade, Broward, Palm Beach, Hillsborough, Pasco, Pinellas, Manatee, Sarasota, Charlotte, Lee, or Collier</w:t>
            </w:r>
            <w:r w:rsidR="00403B0D">
              <w:rPr>
                <w:bCs/>
                <w:iCs/>
              </w:rPr>
              <w:t>?</w:t>
            </w:r>
          </w:p>
        </w:tc>
        <w:sdt>
          <w:sdtPr>
            <w:id w:val="55243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0B5D9CA9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214FBBB7" w14:textId="77777777" w:rsidR="00A9464C" w:rsidRDefault="00F26865" w:rsidP="00A9464C">
            <w:pPr>
              <w:jc w:val="center"/>
            </w:pPr>
            <w:sdt>
              <w:sdtPr>
                <w:id w:val="11631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73FF0007" w14:textId="77777777" w:rsidTr="00774AFD">
        <w:tc>
          <w:tcPr>
            <w:tcW w:w="298" w:type="pct"/>
          </w:tcPr>
          <w:p w14:paraId="784C700F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2773E9E2" w14:textId="77777777" w:rsidR="00A9464C" w:rsidRDefault="00A9464C" w:rsidP="00A9464C">
            <w:r>
              <w:t xml:space="preserve">Is the purchase price </w:t>
            </w:r>
            <w:r w:rsidRPr="00A9464C">
              <w:rPr>
                <w:b/>
                <w:i/>
              </w:rPr>
              <w:t>$300,000 or more</w:t>
            </w:r>
            <w:r>
              <w:t>?</w:t>
            </w:r>
          </w:p>
          <w:p w14:paraId="24E05573" w14:textId="77777777" w:rsidR="00A9464C" w:rsidRDefault="00A9464C" w:rsidP="00A9464C"/>
        </w:tc>
        <w:sdt>
          <w:sdtPr>
            <w:id w:val="88414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D3AE828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67E91607" w14:textId="77777777" w:rsidR="00A9464C" w:rsidRDefault="00F26865" w:rsidP="00A9464C">
            <w:pPr>
              <w:jc w:val="center"/>
            </w:pPr>
            <w:sdt>
              <w:sdtPr>
                <w:id w:val="12622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6B5C1C69" w14:textId="77777777" w:rsidTr="00774AFD">
        <w:tc>
          <w:tcPr>
            <w:tcW w:w="298" w:type="pct"/>
          </w:tcPr>
          <w:p w14:paraId="18B1058E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5A2ED98C" w14:textId="32FF588A" w:rsidR="00A9464C" w:rsidRPr="00A9464C" w:rsidRDefault="00A9464C" w:rsidP="00E37E5B">
            <w:pPr>
              <w:rPr>
                <w:rFonts w:asciiTheme="majorHAnsi" w:hAnsiTheme="majorHAnsi"/>
              </w:rPr>
            </w:pPr>
            <w:r>
              <w:t xml:space="preserve">Is the </w:t>
            </w:r>
            <w:r w:rsidRPr="00A9464C">
              <w:rPr>
                <w:rFonts w:asciiTheme="majorHAnsi" w:hAnsiTheme="majorHAnsi"/>
              </w:rPr>
              <w:t xml:space="preserve">Property purchased by a </w:t>
            </w:r>
            <w:r w:rsidRPr="00A9464C">
              <w:rPr>
                <w:rFonts w:asciiTheme="majorHAnsi" w:hAnsiTheme="majorHAnsi"/>
                <w:b/>
                <w:i/>
              </w:rPr>
              <w:t>Legal Entity</w:t>
            </w:r>
            <w:r w:rsidRPr="00A9464C">
              <w:rPr>
                <w:rFonts w:asciiTheme="majorHAnsi" w:hAnsiTheme="majorHAnsi"/>
              </w:rPr>
              <w:t>, defined as</w:t>
            </w:r>
            <w:r w:rsidRPr="00A9464C">
              <w:rPr>
                <w:rFonts w:asciiTheme="majorHAnsi" w:hAnsiTheme="majorHAnsi" w:cs="Times New Roman"/>
              </w:rPr>
              <w:t xml:space="preserve"> a corporation, limited liability company, partnership, </w:t>
            </w:r>
            <w:r w:rsidR="00E37E5B">
              <w:rPr>
                <w:rFonts w:asciiTheme="majorHAnsi" w:hAnsiTheme="majorHAnsi" w:cs="Times New Roman"/>
              </w:rPr>
              <w:t>or other similar business entity?</w:t>
            </w:r>
            <w:r w:rsidR="00857E43">
              <w:rPr>
                <w:rFonts w:asciiTheme="majorHAnsi" w:hAnsiTheme="majorHAnsi" w:cs="Times New Roman"/>
              </w:rPr>
              <w:t xml:space="preserve"> </w:t>
            </w:r>
            <w:r w:rsidR="00857E43" w:rsidRPr="00845B8A">
              <w:rPr>
                <w:rFonts w:asciiTheme="majorHAnsi" w:hAnsiTheme="majorHAnsi" w:cs="Times New Roman"/>
                <w:i/>
                <w:iCs/>
              </w:rPr>
              <w:t>(</w:t>
            </w:r>
            <w:r w:rsidR="00857E43">
              <w:rPr>
                <w:rFonts w:asciiTheme="majorHAnsi" w:hAnsiTheme="majorHAnsi" w:cs="Times New Roman"/>
                <w:i/>
                <w:iCs/>
              </w:rPr>
              <w:t>N</w:t>
            </w:r>
            <w:r w:rsidR="00857E43" w:rsidRPr="00845B8A">
              <w:rPr>
                <w:rFonts w:asciiTheme="majorHAnsi" w:hAnsiTheme="majorHAnsi" w:cs="Times New Roman"/>
                <w:i/>
                <w:iCs/>
              </w:rPr>
              <w:t xml:space="preserve">ote that purchases by individuals and/or trusts do not </w:t>
            </w:r>
            <w:r w:rsidR="00857E43">
              <w:rPr>
                <w:rFonts w:asciiTheme="majorHAnsi" w:hAnsiTheme="majorHAnsi" w:cs="Times New Roman"/>
                <w:i/>
                <w:iCs/>
              </w:rPr>
              <w:t>t</w:t>
            </w:r>
            <w:r w:rsidR="00857E43" w:rsidRPr="00845B8A">
              <w:rPr>
                <w:rFonts w:asciiTheme="majorHAnsi" w:hAnsiTheme="majorHAnsi" w:cs="Times New Roman"/>
                <w:i/>
                <w:iCs/>
              </w:rPr>
              <w:t>rigger the GTO reporting requirement</w:t>
            </w:r>
            <w:r w:rsidR="00857E43">
              <w:rPr>
                <w:rFonts w:asciiTheme="majorHAnsi" w:hAnsiTheme="majorHAnsi" w:cs="Times New Roman"/>
              </w:rPr>
              <w:t>)</w:t>
            </w:r>
          </w:p>
        </w:tc>
        <w:sdt>
          <w:sdtPr>
            <w:id w:val="-63232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525CBC34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4AAD09C1" w14:textId="77777777" w:rsidR="00A9464C" w:rsidRDefault="00F26865" w:rsidP="00A9464C">
            <w:pPr>
              <w:jc w:val="center"/>
            </w:pPr>
            <w:sdt>
              <w:sdtPr>
                <w:id w:val="4863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A9464C" w14:paraId="27D47E4D" w14:textId="77777777" w:rsidTr="00774AFD">
        <w:tc>
          <w:tcPr>
            <w:tcW w:w="298" w:type="pct"/>
          </w:tcPr>
          <w:p w14:paraId="47BAC62E" w14:textId="77777777" w:rsidR="00A9464C" w:rsidRDefault="00A9464C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6351AB0D" w14:textId="77777777" w:rsidR="00A9464C" w:rsidRDefault="00A9464C" w:rsidP="00A9464C">
            <w:r>
              <w:t xml:space="preserve">Is </w:t>
            </w:r>
            <w:r>
              <w:rPr>
                <w:rFonts w:asciiTheme="majorHAnsi" w:hAnsiTheme="majorHAnsi" w:cs="Times New Roman"/>
              </w:rPr>
              <w:t>the purchase</w:t>
            </w:r>
            <w:r w:rsidRPr="00C45243">
              <w:rPr>
                <w:rFonts w:asciiTheme="majorHAnsi" w:hAnsiTheme="majorHAnsi" w:cs="Times New Roman"/>
              </w:rPr>
              <w:t xml:space="preserve"> made </w:t>
            </w:r>
            <w:r w:rsidRPr="00C45243">
              <w:rPr>
                <w:rFonts w:asciiTheme="majorHAnsi" w:hAnsiTheme="majorHAnsi" w:cs="Times New Roman"/>
                <w:b/>
                <w:i/>
              </w:rPr>
              <w:t>without a bank loan</w:t>
            </w:r>
            <w:r w:rsidRPr="00C45243">
              <w:rPr>
                <w:rFonts w:asciiTheme="majorHAnsi" w:hAnsiTheme="majorHAnsi" w:cs="Times New Roman"/>
              </w:rPr>
              <w:t xml:space="preserve"> or other similar form of external financing</w:t>
            </w:r>
            <w:r>
              <w:rPr>
                <w:rFonts w:asciiTheme="majorHAnsi" w:hAnsiTheme="majorHAnsi" w:cs="Times New Roman"/>
              </w:rPr>
              <w:t>?</w:t>
            </w:r>
          </w:p>
        </w:tc>
        <w:sdt>
          <w:sdtPr>
            <w:id w:val="-10892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Align w:val="center"/>
              </w:tcPr>
              <w:p w14:paraId="4F1BF17B" w14:textId="77777777" w:rsidR="00A9464C" w:rsidRDefault="00AA75DE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Align w:val="center"/>
          </w:tcPr>
          <w:p w14:paraId="7E0BDAC4" w14:textId="77777777" w:rsidR="00A9464C" w:rsidRDefault="00F26865" w:rsidP="00A9464C">
            <w:pPr>
              <w:jc w:val="center"/>
            </w:pPr>
            <w:sdt>
              <w:sdtPr>
                <w:id w:val="-11196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464C">
              <w:t>- STOP</w:t>
            </w:r>
          </w:p>
        </w:tc>
      </w:tr>
      <w:tr w:rsidR="007F401A" w14:paraId="5E192F3F" w14:textId="77777777" w:rsidTr="007F401A">
        <w:trPr>
          <w:trHeight w:val="269"/>
        </w:trPr>
        <w:tc>
          <w:tcPr>
            <w:tcW w:w="298" w:type="pct"/>
            <w:vMerge w:val="restart"/>
          </w:tcPr>
          <w:p w14:paraId="1DFE156F" w14:textId="77777777" w:rsidR="007F401A" w:rsidRDefault="007F401A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257" w:type="pct"/>
            <w:gridSpan w:val="2"/>
          </w:tcPr>
          <w:p w14:paraId="55C5FE37" w14:textId="5F4EE3AA" w:rsidR="007F401A" w:rsidRPr="007F401A" w:rsidRDefault="007F401A" w:rsidP="007F401A">
            <w:pPr>
              <w:rPr>
                <w:rFonts w:asciiTheme="majorHAnsi" w:hAnsiTheme="majorHAnsi" w:cs="Times New Roman"/>
              </w:rPr>
            </w:pPr>
            <w:r>
              <w:t xml:space="preserve">Is the </w:t>
            </w:r>
            <w:r w:rsidRPr="00C45243">
              <w:rPr>
                <w:rFonts w:asciiTheme="majorHAnsi" w:hAnsiTheme="majorHAnsi" w:cs="Times New Roman"/>
              </w:rPr>
              <w:t>purchase made, at least in part, using</w:t>
            </w:r>
            <w:r>
              <w:rPr>
                <w:rFonts w:asciiTheme="majorHAnsi" w:hAnsiTheme="majorHAnsi" w:cs="Times New Roman"/>
              </w:rPr>
              <w:t xml:space="preserve">: </w:t>
            </w:r>
          </w:p>
        </w:tc>
        <w:sdt>
          <w:sdtPr>
            <w:id w:val="117414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pct"/>
                <w:vMerge w:val="restart"/>
                <w:vAlign w:val="center"/>
              </w:tcPr>
              <w:p w14:paraId="27B66DEE" w14:textId="77777777" w:rsidR="007F401A" w:rsidRDefault="007F401A" w:rsidP="00A946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" w:type="pct"/>
            <w:vMerge w:val="restart"/>
            <w:vAlign w:val="center"/>
          </w:tcPr>
          <w:p w14:paraId="1CA41729" w14:textId="77777777" w:rsidR="007F401A" w:rsidRDefault="00F26865" w:rsidP="00A9464C">
            <w:pPr>
              <w:jc w:val="center"/>
            </w:pPr>
            <w:sdt>
              <w:sdtPr>
                <w:id w:val="13538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0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01A">
              <w:t>- STOP</w:t>
            </w:r>
          </w:p>
        </w:tc>
      </w:tr>
      <w:tr w:rsidR="007F401A" w14:paraId="7E941D51" w14:textId="77777777" w:rsidTr="00D43F82">
        <w:trPr>
          <w:trHeight w:val="1344"/>
        </w:trPr>
        <w:tc>
          <w:tcPr>
            <w:tcW w:w="298" w:type="pct"/>
            <w:vMerge/>
          </w:tcPr>
          <w:p w14:paraId="65944594" w14:textId="77777777" w:rsidR="007F401A" w:rsidRDefault="007F401A" w:rsidP="00A9464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73" w:type="pct"/>
            <w:tcBorders>
              <w:right w:val="nil"/>
            </w:tcBorders>
          </w:tcPr>
          <w:p w14:paraId="608BDEE6" w14:textId="77777777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c</w:t>
            </w:r>
            <w:r w:rsidRPr="00A9464C">
              <w:rPr>
                <w:rFonts w:asciiTheme="majorHAnsi" w:hAnsiTheme="majorHAnsi" w:cs="Times New Roman"/>
                <w:b/>
                <w:i/>
              </w:rPr>
              <w:t>urrency</w:t>
            </w:r>
            <w:r>
              <w:rPr>
                <w:rFonts w:asciiTheme="majorHAnsi" w:hAnsiTheme="majorHAnsi" w:cs="Times New Roman"/>
                <w:b/>
              </w:rPr>
              <w:t>,</w:t>
            </w:r>
          </w:p>
          <w:p w14:paraId="70F2F944" w14:textId="77777777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cashier’s check,</w:t>
            </w:r>
          </w:p>
          <w:p w14:paraId="34518C22" w14:textId="77777777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certified check,</w:t>
            </w:r>
          </w:p>
          <w:p w14:paraId="3779B384" w14:textId="77777777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Pr="00A9464C">
              <w:rPr>
                <w:rFonts w:asciiTheme="majorHAnsi" w:hAnsiTheme="majorHAnsi" w:cs="Times New Roman"/>
                <w:b/>
                <w:i/>
              </w:rPr>
              <w:t>traveler’s c</w:t>
            </w:r>
            <w:r>
              <w:rPr>
                <w:rFonts w:asciiTheme="majorHAnsi" w:hAnsiTheme="majorHAnsi" w:cs="Times New Roman"/>
                <w:b/>
                <w:i/>
              </w:rPr>
              <w:t>heck,</w:t>
            </w:r>
          </w:p>
          <w:p w14:paraId="310744EB" w14:textId="77777777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personal check,</w:t>
            </w:r>
          </w:p>
        </w:tc>
        <w:tc>
          <w:tcPr>
            <w:tcW w:w="1684" w:type="pct"/>
            <w:tcBorders>
              <w:left w:val="nil"/>
            </w:tcBorders>
          </w:tcPr>
          <w:p w14:paraId="43555D45" w14:textId="272E29D3" w:rsidR="007F401A" w:rsidRPr="00A9464C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business check,</w:t>
            </w:r>
          </w:p>
          <w:p w14:paraId="3CE8025F" w14:textId="77777777" w:rsidR="007F401A" w:rsidRPr="00E167C3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>a money order in any form,</w:t>
            </w:r>
          </w:p>
          <w:p w14:paraId="2BAFDC57" w14:textId="56FA0995" w:rsidR="007F401A" w:rsidRPr="00E167C3" w:rsidRDefault="007F401A" w:rsidP="007F40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i/>
              </w:rPr>
              <w:t xml:space="preserve">a </w:t>
            </w:r>
            <w:r w:rsidRPr="00A9464C">
              <w:rPr>
                <w:rFonts w:asciiTheme="majorHAnsi" w:hAnsiTheme="majorHAnsi" w:cs="Times New Roman"/>
                <w:b/>
                <w:i/>
              </w:rPr>
              <w:t>funds</w:t>
            </w:r>
            <w:r w:rsidR="00D43F82">
              <w:rPr>
                <w:rFonts w:asciiTheme="majorHAnsi" w:hAnsiTheme="majorHAnsi" w:cs="Times New Roman"/>
                <w:b/>
                <w:i/>
              </w:rPr>
              <w:t>/wire</w:t>
            </w:r>
            <w:r w:rsidRPr="00A9464C">
              <w:rPr>
                <w:rFonts w:asciiTheme="majorHAnsi" w:hAnsiTheme="majorHAnsi" w:cs="Times New Roman"/>
                <w:b/>
                <w:i/>
              </w:rPr>
              <w:t xml:space="preserve"> transfer</w:t>
            </w:r>
            <w:r>
              <w:rPr>
                <w:rFonts w:asciiTheme="majorHAnsi" w:hAnsiTheme="majorHAnsi" w:cs="Times New Roman"/>
                <w:b/>
                <w:i/>
              </w:rPr>
              <w:t>, or</w:t>
            </w:r>
          </w:p>
          <w:p w14:paraId="043E3B9A" w14:textId="14A4C9AE" w:rsidR="007F401A" w:rsidRDefault="007F401A" w:rsidP="007F401A">
            <w:pPr>
              <w:pStyle w:val="ListParagraph"/>
              <w:numPr>
                <w:ilvl w:val="0"/>
                <w:numId w:val="6"/>
              </w:numPr>
            </w:pPr>
            <w:r w:rsidRPr="007F401A">
              <w:rPr>
                <w:rFonts w:asciiTheme="majorHAnsi" w:hAnsiTheme="majorHAnsi" w:cs="Times New Roman"/>
                <w:b/>
                <w:i/>
              </w:rPr>
              <w:t>virtual currency?</w:t>
            </w:r>
          </w:p>
        </w:tc>
        <w:tc>
          <w:tcPr>
            <w:tcW w:w="709" w:type="pct"/>
            <w:vMerge/>
            <w:vAlign w:val="center"/>
          </w:tcPr>
          <w:p w14:paraId="62812795" w14:textId="77777777" w:rsidR="007F401A" w:rsidRDefault="007F401A" w:rsidP="00A9464C">
            <w:pPr>
              <w:jc w:val="center"/>
            </w:pPr>
          </w:p>
        </w:tc>
        <w:tc>
          <w:tcPr>
            <w:tcW w:w="736" w:type="pct"/>
            <w:vMerge/>
            <w:vAlign w:val="center"/>
          </w:tcPr>
          <w:p w14:paraId="0FD87884" w14:textId="77777777" w:rsidR="007F401A" w:rsidRDefault="007F401A" w:rsidP="00A9464C">
            <w:pPr>
              <w:jc w:val="center"/>
            </w:pPr>
          </w:p>
        </w:tc>
      </w:tr>
    </w:tbl>
    <w:p w14:paraId="07367C4D" w14:textId="77777777" w:rsidR="00A9464C" w:rsidRDefault="00A9464C" w:rsidP="00A9464C"/>
    <w:p w14:paraId="504B457A" w14:textId="729D8BC3" w:rsidR="001E0AF1" w:rsidRDefault="00A9464C" w:rsidP="00FA6F54">
      <w:pPr>
        <w:jc w:val="both"/>
      </w:pPr>
      <w:r>
        <w:t xml:space="preserve">If </w:t>
      </w:r>
      <w:r w:rsidRPr="00A9464C">
        <w:rPr>
          <w:b/>
        </w:rPr>
        <w:t>ALL</w:t>
      </w:r>
      <w:r>
        <w:t xml:space="preserve"> questions were answered “Yes,” the transaction is a Covered Transaction within the FinCEN GTO and the CATIC</w:t>
      </w:r>
      <w:r w:rsidR="002F6B3E">
        <w:t xml:space="preserve"> Title</w:t>
      </w:r>
      <w:r>
        <w:t xml:space="preserve"> agent </w:t>
      </w:r>
      <w:r w:rsidRPr="00A9464C">
        <w:rPr>
          <w:b/>
        </w:rPr>
        <w:t>MUST</w:t>
      </w:r>
      <w:r>
        <w:t xml:space="preserve"> submit a Currency Transaction</w:t>
      </w:r>
      <w:r w:rsidR="00774AFD">
        <w:t xml:space="preserve"> Report in accordance with the o</w:t>
      </w:r>
      <w:r>
        <w:t>rder.</w:t>
      </w:r>
      <w:r w:rsidR="00BA62BA">
        <w:t xml:space="preserve"> That CATIC</w:t>
      </w:r>
      <w:r w:rsidR="002F6B3E">
        <w:t xml:space="preserve"> Title</w:t>
      </w:r>
      <w:r w:rsidR="00BA62BA">
        <w:t xml:space="preserve"> agent must provide a copy of the Currency Transaction Report to CATIC</w:t>
      </w:r>
      <w:r w:rsidR="002F6B3E">
        <w:t xml:space="preserve"> Title</w:t>
      </w:r>
      <w:r w:rsidR="00BA62BA">
        <w:t xml:space="preserve"> </w:t>
      </w:r>
      <w:r w:rsidR="001E0AF1">
        <w:t xml:space="preserve">within </w:t>
      </w:r>
      <w:r w:rsidR="001E0AF1" w:rsidRPr="00BA62BA">
        <w:rPr>
          <w:b/>
          <w:i/>
        </w:rPr>
        <w:t>5 days</w:t>
      </w:r>
      <w:r w:rsidR="001E0AF1">
        <w:t xml:space="preserve"> of submitting the report to FinCEN by:</w:t>
      </w:r>
    </w:p>
    <w:p w14:paraId="72B5394D" w14:textId="25E9A3DC" w:rsidR="00A9464C" w:rsidRPr="00BD760D" w:rsidRDefault="001E0AF1" w:rsidP="00774AFD">
      <w:pPr>
        <w:pStyle w:val="ListParagraph"/>
        <w:numPr>
          <w:ilvl w:val="0"/>
          <w:numId w:val="5"/>
        </w:numPr>
        <w:tabs>
          <w:tab w:val="left" w:pos="1710"/>
        </w:tabs>
        <w:jc w:val="both"/>
      </w:pPr>
      <w:r w:rsidRPr="00BD760D">
        <w:t>Email to</w:t>
      </w:r>
      <w:r w:rsidR="00774AFD" w:rsidRPr="00BD760D">
        <w:t>:</w:t>
      </w:r>
      <w:r w:rsidR="00774AFD" w:rsidRPr="00BD760D">
        <w:tab/>
      </w:r>
      <w:r w:rsidR="002912EA">
        <w:t>SMaggiola</w:t>
      </w:r>
      <w:r w:rsidR="00BD760D" w:rsidRPr="00BD760D">
        <w:t>@catictitle.com</w:t>
      </w:r>
      <w:r w:rsidR="0022187B" w:rsidRPr="00BD760D">
        <w:t xml:space="preserve"> </w:t>
      </w:r>
      <w:r w:rsidRPr="00BD760D">
        <w:t>or</w:t>
      </w:r>
    </w:p>
    <w:p w14:paraId="2D6432F7" w14:textId="77777777" w:rsidR="001E0AF1" w:rsidRPr="00BD760D" w:rsidRDefault="001E0AF1" w:rsidP="00774AFD">
      <w:pPr>
        <w:pStyle w:val="ListParagraph"/>
        <w:numPr>
          <w:ilvl w:val="0"/>
          <w:numId w:val="5"/>
        </w:numPr>
        <w:tabs>
          <w:tab w:val="left" w:pos="1710"/>
        </w:tabs>
        <w:jc w:val="both"/>
      </w:pPr>
      <w:r w:rsidRPr="00BD760D">
        <w:t>Mail to:</w:t>
      </w:r>
      <w:r w:rsidR="00774AFD" w:rsidRPr="00BD760D">
        <w:t xml:space="preserve"> </w:t>
      </w:r>
      <w:r w:rsidR="00774AFD" w:rsidRPr="00BD760D">
        <w:tab/>
      </w:r>
      <w:r w:rsidR="00BD760D" w:rsidRPr="00BD760D">
        <w:t xml:space="preserve">CATIC Title Insurance Company </w:t>
      </w:r>
    </w:p>
    <w:p w14:paraId="7803E819" w14:textId="77777777" w:rsidR="001E0AF1" w:rsidRPr="00BD760D" w:rsidRDefault="00774AFD" w:rsidP="00774AFD">
      <w:pPr>
        <w:tabs>
          <w:tab w:val="left" w:pos="1710"/>
        </w:tabs>
        <w:jc w:val="both"/>
      </w:pPr>
      <w:r w:rsidRPr="00BD760D">
        <w:tab/>
      </w:r>
      <w:r w:rsidR="001E0AF1" w:rsidRPr="00BD760D">
        <w:t>ATTN: GTO Filing</w:t>
      </w:r>
    </w:p>
    <w:p w14:paraId="48EBF407" w14:textId="77777777" w:rsidR="00BD760D" w:rsidRPr="00BD760D" w:rsidRDefault="00774AFD" w:rsidP="00BD760D">
      <w:pPr>
        <w:tabs>
          <w:tab w:val="left" w:pos="1710"/>
        </w:tabs>
        <w:jc w:val="both"/>
      </w:pPr>
      <w:r w:rsidRPr="00BD760D">
        <w:tab/>
      </w:r>
      <w:r w:rsidR="00BD760D" w:rsidRPr="00BD760D">
        <w:t>660 White Plains Road, Suite 570</w:t>
      </w:r>
    </w:p>
    <w:p w14:paraId="1EFD8E95" w14:textId="77777777" w:rsidR="00A9464C" w:rsidRDefault="00BD760D" w:rsidP="00BD760D">
      <w:pPr>
        <w:tabs>
          <w:tab w:val="left" w:pos="1710"/>
        </w:tabs>
        <w:jc w:val="both"/>
      </w:pPr>
      <w:r w:rsidRPr="00BD760D">
        <w:tab/>
        <w:t>Tarrytown, NY 10591</w:t>
      </w:r>
    </w:p>
    <w:p w14:paraId="00539C09" w14:textId="77777777" w:rsidR="00BD760D" w:rsidRDefault="00BD760D" w:rsidP="00BD760D">
      <w:pPr>
        <w:tabs>
          <w:tab w:val="left" w:pos="1710"/>
        </w:tabs>
        <w:jc w:val="both"/>
      </w:pPr>
    </w:p>
    <w:p w14:paraId="2295B7B3" w14:textId="081FB982" w:rsidR="00A9464C" w:rsidRDefault="00A9464C" w:rsidP="00FA6F54">
      <w:pPr>
        <w:jc w:val="both"/>
      </w:pPr>
      <w:r>
        <w:t xml:space="preserve">If </w:t>
      </w:r>
      <w:r w:rsidRPr="00A9464C">
        <w:rPr>
          <w:b/>
        </w:rPr>
        <w:t>ANY</w:t>
      </w:r>
      <w:r>
        <w:t xml:space="preserve"> question was answered “No,” the transaction is </w:t>
      </w:r>
      <w:r w:rsidRPr="00A9464C">
        <w:rPr>
          <w:b/>
        </w:rPr>
        <w:t>NOT</w:t>
      </w:r>
      <w:r>
        <w:t xml:space="preserve"> a Covered Transaction and no report is necessary. </w:t>
      </w:r>
      <w:r w:rsidR="00BA62BA">
        <w:t>CATIC</w:t>
      </w:r>
      <w:r w:rsidR="002F6B3E">
        <w:t xml:space="preserve"> Title</w:t>
      </w:r>
      <w:r w:rsidR="00BA62BA">
        <w:t xml:space="preserve"> recommends that agents retain evidence demonstrating why a report was not required for the subject transaction.</w:t>
      </w:r>
    </w:p>
    <w:sectPr w:rsidR="00A9464C" w:rsidSect="00774AFD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6DDC" w14:textId="77777777" w:rsidR="009F187F" w:rsidRDefault="009F187F" w:rsidP="00C91390">
      <w:pPr>
        <w:spacing w:line="240" w:lineRule="auto"/>
      </w:pPr>
      <w:r>
        <w:separator/>
      </w:r>
    </w:p>
  </w:endnote>
  <w:endnote w:type="continuationSeparator" w:id="0">
    <w:p w14:paraId="143BABBD" w14:textId="77777777" w:rsidR="009F187F" w:rsidRDefault="009F187F" w:rsidP="00C9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1EDD" w14:textId="77777777" w:rsidR="009F187F" w:rsidRDefault="009F187F" w:rsidP="00C91390">
      <w:pPr>
        <w:spacing w:line="240" w:lineRule="auto"/>
      </w:pPr>
      <w:r>
        <w:separator/>
      </w:r>
    </w:p>
  </w:footnote>
  <w:footnote w:type="continuationSeparator" w:id="0">
    <w:p w14:paraId="2949730F" w14:textId="77777777" w:rsidR="009F187F" w:rsidRDefault="009F187F" w:rsidP="00C91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7484" w14:textId="77777777" w:rsidR="00C91390" w:rsidRDefault="00EB426E" w:rsidP="004B25E2">
    <w:pPr>
      <w:pStyle w:val="Header"/>
    </w:pPr>
    <w:r>
      <w:rPr>
        <w:rFonts w:ascii="Times New Roman" w:hAnsi="Times New Roman" w:cs="Times New Roman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5D0D43D5" wp14:editId="3986634C">
          <wp:simplePos x="0" y="0"/>
          <wp:positionH relativeFrom="column">
            <wp:posOffset>232623</wp:posOffset>
          </wp:positionH>
          <wp:positionV relativeFrom="paragraph">
            <wp:posOffset>-76200</wp:posOffset>
          </wp:positionV>
          <wp:extent cx="1223345" cy="26517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45" cy="2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5E2">
      <w:tab/>
    </w:r>
    <w:r w:rsidR="004B25E2"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1CD1"/>
    <w:multiLevelType w:val="hybridMultilevel"/>
    <w:tmpl w:val="788C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532"/>
    <w:multiLevelType w:val="hybridMultilevel"/>
    <w:tmpl w:val="FC667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86D38"/>
    <w:multiLevelType w:val="hybridMultilevel"/>
    <w:tmpl w:val="876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1F58"/>
    <w:multiLevelType w:val="hybridMultilevel"/>
    <w:tmpl w:val="6362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11C2D"/>
    <w:multiLevelType w:val="hybridMultilevel"/>
    <w:tmpl w:val="437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7CB3"/>
    <w:multiLevelType w:val="hybridMultilevel"/>
    <w:tmpl w:val="77A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7928">
    <w:abstractNumId w:val="5"/>
  </w:num>
  <w:num w:numId="2" w16cid:durableId="955674080">
    <w:abstractNumId w:val="2"/>
  </w:num>
  <w:num w:numId="3" w16cid:durableId="1499882773">
    <w:abstractNumId w:val="1"/>
  </w:num>
  <w:num w:numId="4" w16cid:durableId="119610630">
    <w:abstractNumId w:val="3"/>
  </w:num>
  <w:num w:numId="5" w16cid:durableId="891158534">
    <w:abstractNumId w:val="0"/>
  </w:num>
  <w:num w:numId="6" w16cid:durableId="830217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64C"/>
    <w:rsid w:val="00041BE4"/>
    <w:rsid w:val="000C1AD0"/>
    <w:rsid w:val="000E13E5"/>
    <w:rsid w:val="000E6E38"/>
    <w:rsid w:val="000E7C0E"/>
    <w:rsid w:val="000F68EE"/>
    <w:rsid w:val="00147831"/>
    <w:rsid w:val="001C6465"/>
    <w:rsid w:val="001E0AF1"/>
    <w:rsid w:val="001F1B26"/>
    <w:rsid w:val="0022187B"/>
    <w:rsid w:val="002300AE"/>
    <w:rsid w:val="002337EF"/>
    <w:rsid w:val="00274240"/>
    <w:rsid w:val="002912EA"/>
    <w:rsid w:val="002F14A5"/>
    <w:rsid w:val="002F6B3E"/>
    <w:rsid w:val="00324E08"/>
    <w:rsid w:val="00403B0D"/>
    <w:rsid w:val="004B25E2"/>
    <w:rsid w:val="00544350"/>
    <w:rsid w:val="00621BC9"/>
    <w:rsid w:val="00653215"/>
    <w:rsid w:val="00690378"/>
    <w:rsid w:val="00695BA6"/>
    <w:rsid w:val="006B627E"/>
    <w:rsid w:val="006D0898"/>
    <w:rsid w:val="006D1AAB"/>
    <w:rsid w:val="006D7200"/>
    <w:rsid w:val="006F2D44"/>
    <w:rsid w:val="00757220"/>
    <w:rsid w:val="00774AFD"/>
    <w:rsid w:val="007B4308"/>
    <w:rsid w:val="007F401A"/>
    <w:rsid w:val="007F771A"/>
    <w:rsid w:val="00857E43"/>
    <w:rsid w:val="00864B73"/>
    <w:rsid w:val="008B7DC8"/>
    <w:rsid w:val="00957D86"/>
    <w:rsid w:val="009E198D"/>
    <w:rsid w:val="009F187F"/>
    <w:rsid w:val="00A65574"/>
    <w:rsid w:val="00A9464C"/>
    <w:rsid w:val="00AA75DE"/>
    <w:rsid w:val="00B21F64"/>
    <w:rsid w:val="00B32F3A"/>
    <w:rsid w:val="00B34637"/>
    <w:rsid w:val="00B42924"/>
    <w:rsid w:val="00B55FA7"/>
    <w:rsid w:val="00B8159C"/>
    <w:rsid w:val="00BA62BA"/>
    <w:rsid w:val="00BD4C89"/>
    <w:rsid w:val="00BD760D"/>
    <w:rsid w:val="00BD798B"/>
    <w:rsid w:val="00C10284"/>
    <w:rsid w:val="00C46397"/>
    <w:rsid w:val="00C56610"/>
    <w:rsid w:val="00C67009"/>
    <w:rsid w:val="00C91390"/>
    <w:rsid w:val="00CD2854"/>
    <w:rsid w:val="00CE459C"/>
    <w:rsid w:val="00D14097"/>
    <w:rsid w:val="00D43F82"/>
    <w:rsid w:val="00D869CD"/>
    <w:rsid w:val="00D918AB"/>
    <w:rsid w:val="00E167C3"/>
    <w:rsid w:val="00E37E5B"/>
    <w:rsid w:val="00E51ECE"/>
    <w:rsid w:val="00E57458"/>
    <w:rsid w:val="00E807FC"/>
    <w:rsid w:val="00E81C11"/>
    <w:rsid w:val="00EB426E"/>
    <w:rsid w:val="00F2232D"/>
    <w:rsid w:val="00F26865"/>
    <w:rsid w:val="00F519FD"/>
    <w:rsid w:val="00F60DEC"/>
    <w:rsid w:val="00F726D1"/>
    <w:rsid w:val="00F84FE7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199C"/>
  <w15:docId w15:val="{E6FE807D-833D-4F31-9D15-74B3526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97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3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39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913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390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F6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F64"/>
    <w:rPr>
      <w:rFonts w:ascii="Cambria" w:hAnsi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6316-52BC-41D2-8455-F560A320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Sadler</dc:creator>
  <cp:lastModifiedBy>Ashley Sadler Fischer</cp:lastModifiedBy>
  <cp:revision>16</cp:revision>
  <dcterms:created xsi:type="dcterms:W3CDTF">2020-05-08T18:24:00Z</dcterms:created>
  <dcterms:modified xsi:type="dcterms:W3CDTF">2024-10-15T17:12:00Z</dcterms:modified>
</cp:coreProperties>
</file>